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C22D93" w:rsidRDefault="008025C4" w:rsidP="000C5B1F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0C5B1F">
        <w:rPr>
          <w:rFonts w:asciiTheme="minorHAnsi" w:hAnsiTheme="minorHAnsi" w:cs="SegoeUI-Bold"/>
          <w:b/>
          <w:bCs/>
          <w:color w:val="auto"/>
        </w:rPr>
        <w:t>The Fundamentals of Nursing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BF68E9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611542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F68E9">
        <w:rPr>
          <w:rFonts w:cs="SegoeUI-Semilight"/>
          <w:sz w:val="24"/>
          <w:szCs w:val="24"/>
        </w:rPr>
        <w:t>The fundamentals of nursing prepared to enrich associate nurses with knowledge</w:t>
      </w:r>
      <w:r>
        <w:rPr>
          <w:rFonts w:cs="SegoeUI-Semilight"/>
          <w:sz w:val="24"/>
          <w:szCs w:val="24"/>
        </w:rPr>
        <w:t xml:space="preserve"> and skills about basic nursing </w:t>
      </w:r>
      <w:r w:rsidRPr="00BF68E9">
        <w:rPr>
          <w:rFonts w:cs="SegoeUI-Semilight"/>
          <w:sz w:val="24"/>
          <w:szCs w:val="24"/>
        </w:rPr>
        <w:t>competencies in order to enhance safe practice and quality patient care.</w:t>
      </w:r>
    </w:p>
    <w:p w:rsidR="00BF68E9" w:rsidRPr="00611542" w:rsidRDefault="00BF68E9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8025C4" w:rsidRPr="00BF68E9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611542" w:rsidRPr="00BF68E9" w:rsidRDefault="00BF68E9" w:rsidP="00611542">
      <w:pPr>
        <w:rPr>
          <w:rFonts w:cs="SegoeUI-Semilight"/>
          <w:sz w:val="24"/>
          <w:szCs w:val="24"/>
        </w:rPr>
      </w:pPr>
      <w:r w:rsidRPr="00BF68E9">
        <w:rPr>
          <w:rFonts w:cs="SegoeUI-Semilight"/>
          <w:sz w:val="24"/>
          <w:szCs w:val="24"/>
        </w:rPr>
        <w:t>Associate nurses.</w:t>
      </w:r>
    </w:p>
    <w:p w:rsidR="00611542" w:rsidRPr="00BF68E9" w:rsidRDefault="008025C4" w:rsidP="00BF68E9">
      <w:pPr>
        <w:rPr>
          <w:rFonts w:cs="SegoeUI-Semibold"/>
          <w:b/>
          <w:bCs/>
          <w:sz w:val="24"/>
          <w:szCs w:val="24"/>
          <w:u w:val="single"/>
        </w:rPr>
      </w:pPr>
      <w:r w:rsidRPr="00A57FCD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BF68E9">
        <w:rPr>
          <w:rFonts w:cs="SegoeUI-SemilightItalic"/>
          <w:sz w:val="24"/>
          <w:szCs w:val="24"/>
        </w:rPr>
        <w:t>At the end of this 2 days course, participants will be able to: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F68E9">
        <w:rPr>
          <w:rFonts w:cs="SegoeUI-Semilight"/>
          <w:sz w:val="24"/>
          <w:szCs w:val="24"/>
        </w:rPr>
        <w:t>• Illustrate the chain of infection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F68E9">
        <w:rPr>
          <w:rFonts w:cs="SegoeUI-Semilight"/>
          <w:sz w:val="24"/>
          <w:szCs w:val="24"/>
        </w:rPr>
        <w:t>• State the purpose of using proper body mechanics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F68E9">
        <w:rPr>
          <w:rFonts w:cs="SegoeUI-Semilight"/>
          <w:sz w:val="24"/>
          <w:szCs w:val="24"/>
        </w:rPr>
        <w:t>• Use therapeutic communication skills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F68E9">
        <w:rPr>
          <w:rFonts w:cs="SegoeUI-Semilight"/>
          <w:sz w:val="24"/>
          <w:szCs w:val="24"/>
        </w:rPr>
        <w:t>• Explain the nursing care for patient receiving oxygen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BF68E9">
        <w:rPr>
          <w:rFonts w:cs="SegoeUI-Semilight"/>
          <w:sz w:val="24"/>
          <w:szCs w:val="24"/>
        </w:rPr>
        <w:t xml:space="preserve">• Discuss the confidentiality of </w:t>
      </w:r>
      <w:r w:rsidRPr="00BF68E9">
        <w:rPr>
          <w:rFonts w:cs="SegoeUI-Semilight"/>
          <w:sz w:val="24"/>
          <w:szCs w:val="24"/>
        </w:rPr>
        <w:t>patient’s</w:t>
      </w:r>
      <w:r w:rsidRPr="00BF68E9">
        <w:rPr>
          <w:rFonts w:cs="SegoeUI-Semilight"/>
          <w:sz w:val="24"/>
          <w:szCs w:val="24"/>
        </w:rPr>
        <w:t xml:space="preserve"> records</w:t>
      </w:r>
    </w:p>
    <w:p w:rsidR="00BF68E9" w:rsidRPr="00BF68E9" w:rsidRDefault="00BF68E9" w:rsidP="00BF68E9">
      <w:pPr>
        <w:rPr>
          <w:rFonts w:cs="SegoeUI-SemilightItalic"/>
          <w:sz w:val="24"/>
          <w:szCs w:val="24"/>
        </w:rPr>
      </w:pPr>
      <w:r w:rsidRPr="00BF68E9">
        <w:rPr>
          <w:rFonts w:cs="SegoeUI-Semilight"/>
          <w:sz w:val="24"/>
          <w:szCs w:val="24"/>
        </w:rPr>
        <w:t>• Discuss the early warning signs for patients</w:t>
      </w:r>
    </w:p>
    <w:p w:rsidR="00611542" w:rsidRPr="00BF68E9" w:rsidRDefault="00611542" w:rsidP="00A57FCD">
      <w:pPr>
        <w:rPr>
          <w:rFonts w:cs="SegoeUI-SemilightItalic"/>
          <w:i/>
          <w:iCs/>
          <w:sz w:val="24"/>
          <w:szCs w:val="24"/>
        </w:rPr>
      </w:pPr>
    </w:p>
    <w:p w:rsidR="00A57FCD" w:rsidRPr="00BF68E9" w:rsidRDefault="008025C4" w:rsidP="00A57FCD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  <w:bookmarkStart w:id="0" w:name="_GoBack"/>
    </w:p>
    <w:p w:rsidR="00611542" w:rsidRPr="00BF68E9" w:rsidRDefault="00611542" w:rsidP="00A57FCD">
      <w:pPr>
        <w:rPr>
          <w:rFonts w:cs="SegoeUI-SemilightItalic"/>
          <w:sz w:val="24"/>
          <w:szCs w:val="24"/>
        </w:rPr>
      </w:pP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BF68E9">
        <w:rPr>
          <w:rFonts w:cs="SegoeUI-SemilightItalic"/>
          <w:sz w:val="24"/>
          <w:szCs w:val="24"/>
        </w:rPr>
        <w:t>Teaching learning methods utilized to assist participants in achieving course objectives include: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BF68E9">
        <w:rPr>
          <w:rFonts w:cs="SegoeUI-SemilightItalic"/>
          <w:sz w:val="24"/>
          <w:szCs w:val="24"/>
        </w:rPr>
        <w:t>• Lectures.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BF68E9">
        <w:rPr>
          <w:rFonts w:cs="SegoeUI-SemilightItalic"/>
          <w:sz w:val="24"/>
          <w:szCs w:val="24"/>
        </w:rPr>
        <w:t>• Class room presentation.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BF68E9">
        <w:rPr>
          <w:rFonts w:cs="SegoeUI-SemilightItalic"/>
          <w:sz w:val="24"/>
          <w:szCs w:val="24"/>
        </w:rPr>
        <w:t>• Discussion (seminar approach).</w:t>
      </w:r>
    </w:p>
    <w:p w:rsidR="00BF68E9" w:rsidRPr="00BF68E9" w:rsidRDefault="00BF68E9" w:rsidP="00BF68E9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BF68E9">
        <w:rPr>
          <w:rFonts w:cs="SegoeUI-SemilightItalic"/>
          <w:sz w:val="24"/>
          <w:szCs w:val="24"/>
        </w:rPr>
        <w:t>• Audiovisuals.</w:t>
      </w:r>
    </w:p>
    <w:p w:rsidR="008025C4" w:rsidRPr="00BF68E9" w:rsidRDefault="00BF68E9" w:rsidP="00BF68E9">
      <w:pPr>
        <w:rPr>
          <w:sz w:val="24"/>
          <w:szCs w:val="24"/>
        </w:rPr>
      </w:pPr>
      <w:r w:rsidRPr="00BF68E9">
        <w:rPr>
          <w:rFonts w:cs="SegoeUI-SemilightItalic"/>
          <w:sz w:val="24"/>
          <w:szCs w:val="24"/>
        </w:rPr>
        <w:t>• Skill Stations.</w:t>
      </w:r>
      <w:bookmarkEnd w:id="0"/>
    </w:p>
    <w:sectPr w:rsidR="008025C4" w:rsidRPr="00BF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012EBB"/>
    <w:rsid w:val="0003166E"/>
    <w:rsid w:val="000C5B1F"/>
    <w:rsid w:val="001C38DB"/>
    <w:rsid w:val="00210F84"/>
    <w:rsid w:val="00436C45"/>
    <w:rsid w:val="00611542"/>
    <w:rsid w:val="0064524F"/>
    <w:rsid w:val="00761639"/>
    <w:rsid w:val="007A1D09"/>
    <w:rsid w:val="008025C4"/>
    <w:rsid w:val="00821D4B"/>
    <w:rsid w:val="00882270"/>
    <w:rsid w:val="0089224E"/>
    <w:rsid w:val="00897D3B"/>
    <w:rsid w:val="008B7E23"/>
    <w:rsid w:val="008D7895"/>
    <w:rsid w:val="009F7A8B"/>
    <w:rsid w:val="00A163E5"/>
    <w:rsid w:val="00A57FCD"/>
    <w:rsid w:val="00B15878"/>
    <w:rsid w:val="00BF68E9"/>
    <w:rsid w:val="00C22D93"/>
    <w:rsid w:val="00CF28AF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25</cp:revision>
  <dcterms:created xsi:type="dcterms:W3CDTF">2018-12-27T08:01:00Z</dcterms:created>
  <dcterms:modified xsi:type="dcterms:W3CDTF">2018-12-27T10:09:00Z</dcterms:modified>
</cp:coreProperties>
</file>