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1A7BEA" w:rsidRDefault="008025C4" w:rsidP="001A7BEA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1A7BEA" w:rsidRPr="001A7BEA">
        <w:rPr>
          <w:rFonts w:asciiTheme="minorHAnsi" w:hAnsiTheme="minorHAnsi" w:cs="SegoeUI-Bold"/>
          <w:b/>
          <w:bCs/>
          <w:color w:val="auto"/>
        </w:rPr>
        <w:t>Oncological Emergencies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1A7BEA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BF68E9" w:rsidRPr="001A7BEA" w:rsidRDefault="00BF68E9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1A7BEA" w:rsidRPr="001A7BEA" w:rsidRDefault="001A7BEA" w:rsidP="0039576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Oncological emergencies are life-threatening complications that might o</w:t>
      </w:r>
      <w:r w:rsidR="00395762">
        <w:rPr>
          <w:rFonts w:cs="SegoeUI-Semilight"/>
          <w:sz w:val="24"/>
          <w:szCs w:val="24"/>
        </w:rPr>
        <w:t xml:space="preserve">ccur during cancer and/or might </w:t>
      </w:r>
      <w:r w:rsidRPr="001A7BEA">
        <w:rPr>
          <w:rFonts w:cs="SegoeUI-Semilight"/>
          <w:sz w:val="24"/>
          <w:szCs w:val="24"/>
        </w:rPr>
        <w:t>accompany therapeutic modalities of the malignant diseases. If these complica</w:t>
      </w:r>
      <w:r w:rsidR="00395762">
        <w:rPr>
          <w:rFonts w:cs="SegoeUI-Semilight"/>
          <w:sz w:val="24"/>
          <w:szCs w:val="24"/>
        </w:rPr>
        <w:t xml:space="preserve">tions are diagnosed and treated </w:t>
      </w:r>
      <w:r w:rsidRPr="001A7BEA">
        <w:rPr>
          <w:rFonts w:cs="SegoeUI-Semilight"/>
          <w:sz w:val="24"/>
          <w:szCs w:val="24"/>
        </w:rPr>
        <w:t>immediately, which will consequently reduce percentages of cancer morbidity and mortality.</w:t>
      </w:r>
    </w:p>
    <w:p w:rsidR="00F11CC9" w:rsidRDefault="001A7BEA" w:rsidP="0039576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 xml:space="preserve">The duration and degree of toxicity depends on the chemotherapy type and dose; </w:t>
      </w:r>
      <w:r w:rsidR="00395762">
        <w:rPr>
          <w:rFonts w:cs="SegoeUI-Semilight"/>
          <w:sz w:val="24"/>
          <w:szCs w:val="24"/>
        </w:rPr>
        <w:t xml:space="preserve">it also varies with the site of </w:t>
      </w:r>
      <w:r w:rsidRPr="001A7BEA">
        <w:rPr>
          <w:rFonts w:cs="SegoeUI-Semilight"/>
          <w:sz w:val="24"/>
          <w:szCs w:val="24"/>
        </w:rPr>
        <w:t>disease, the presence and extent of bone marrow involvement or any previous bo</w:t>
      </w:r>
      <w:r w:rsidR="00395762">
        <w:rPr>
          <w:rFonts w:cs="SegoeUI-Semilight"/>
          <w:sz w:val="24"/>
          <w:szCs w:val="24"/>
        </w:rPr>
        <w:t xml:space="preserve">ne irradiation. Therefore, this </w:t>
      </w:r>
      <w:r w:rsidRPr="001A7BEA">
        <w:rPr>
          <w:rFonts w:cs="SegoeUI-Semilight"/>
          <w:sz w:val="24"/>
          <w:szCs w:val="24"/>
        </w:rPr>
        <w:t>course addresses various structural and metabolic oncologic emergencies that a</w:t>
      </w:r>
      <w:r w:rsidR="00395762">
        <w:rPr>
          <w:rFonts w:cs="SegoeUI-Semilight"/>
          <w:sz w:val="24"/>
          <w:szCs w:val="24"/>
        </w:rPr>
        <w:t xml:space="preserve">llows participants to develop a </w:t>
      </w:r>
      <w:r w:rsidRPr="001A7BEA">
        <w:rPr>
          <w:rFonts w:cs="SegoeUI-Semilight"/>
          <w:sz w:val="24"/>
          <w:szCs w:val="24"/>
        </w:rPr>
        <w:t>deeper knowledge and understanding about the most common oncological emergencies that requ</w:t>
      </w:r>
      <w:r w:rsidR="00395762">
        <w:rPr>
          <w:rFonts w:cs="SegoeUI-Semilight"/>
          <w:sz w:val="24"/>
          <w:szCs w:val="24"/>
        </w:rPr>
        <w:t xml:space="preserve">ire quick and </w:t>
      </w:r>
      <w:r w:rsidRPr="001A7BEA">
        <w:rPr>
          <w:rFonts w:cs="SegoeUI-Semilight"/>
          <w:sz w:val="24"/>
          <w:szCs w:val="24"/>
        </w:rPr>
        <w:t>decisive action to ensure better outcomes of cancer treatment.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1A7BEA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Registered nurses and other members of the health care team dealing with oncol</w:t>
      </w:r>
      <w:r>
        <w:rPr>
          <w:rFonts w:cs="SegoeUI-Semilight"/>
          <w:sz w:val="24"/>
          <w:szCs w:val="24"/>
        </w:rPr>
        <w:t xml:space="preserve">ogy patients in the acute </w:t>
      </w:r>
      <w:r w:rsidR="004376C0">
        <w:rPr>
          <w:rFonts w:cs="SegoeUI-Semilight"/>
          <w:sz w:val="24"/>
          <w:szCs w:val="24"/>
        </w:rPr>
        <w:t>care,</w:t>
      </w:r>
      <w:r w:rsidR="004376C0" w:rsidRPr="001A7BEA">
        <w:rPr>
          <w:rFonts w:cs="SegoeUI-Semilight"/>
          <w:sz w:val="24"/>
          <w:szCs w:val="24"/>
        </w:rPr>
        <w:t xml:space="preserve"> Outpatient</w:t>
      </w:r>
      <w:r w:rsidRPr="001A7BEA">
        <w:rPr>
          <w:rFonts w:cs="SegoeUI-Semilight"/>
          <w:sz w:val="24"/>
          <w:szCs w:val="24"/>
        </w:rPr>
        <w:t>, extended care, rehabilitation and home care settings.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ascii="SegoeUI-Semilight" w:hAnsi="SegoeUI-Semilight" w:cs="SegoeUI-Semilight"/>
          <w:sz w:val="20"/>
          <w:szCs w:val="20"/>
        </w:rPr>
      </w:pPr>
    </w:p>
    <w:p w:rsidR="00611542" w:rsidRPr="001A7BEA" w:rsidRDefault="008025C4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bold"/>
          <w:b/>
          <w:bCs/>
          <w:sz w:val="28"/>
          <w:szCs w:val="28"/>
          <w:u w:val="single"/>
        </w:rPr>
        <w:t>OBJECTIVES</w:t>
      </w:r>
      <w:bookmarkStart w:id="0" w:name="_GoBack"/>
      <w:bookmarkEnd w:id="0"/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1A7BEA">
        <w:rPr>
          <w:rFonts w:cs="SegoeUI-SemilightItalic"/>
          <w:i/>
          <w:iCs/>
          <w:sz w:val="24"/>
          <w:szCs w:val="24"/>
        </w:rPr>
        <w:t>At the end of this 2 days course, participants will be able to: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Recognize signs and symptoms of febrile neutropenia and neutrope</w:t>
      </w:r>
      <w:r>
        <w:rPr>
          <w:rFonts w:cs="SegoeUI-Semilight"/>
          <w:sz w:val="24"/>
          <w:szCs w:val="24"/>
        </w:rPr>
        <w:t xml:space="preserve">nic sepsis and understand their </w:t>
      </w:r>
      <w:r w:rsidRPr="001A7BEA">
        <w:rPr>
          <w:rFonts w:cs="SegoeUI-Semilight"/>
          <w:sz w:val="24"/>
          <w:szCs w:val="24"/>
        </w:rPr>
        <w:t>management.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Recognize the signs and symptoms of spinal cord</w:t>
      </w:r>
      <w:r>
        <w:rPr>
          <w:rFonts w:cs="SegoeUI-Semilight"/>
          <w:sz w:val="24"/>
          <w:szCs w:val="24"/>
        </w:rPr>
        <w:t xml:space="preserve"> compression and understand its </w:t>
      </w:r>
      <w:r w:rsidRPr="001A7BEA">
        <w:rPr>
          <w:rFonts w:cs="SegoeUI-Semilight"/>
          <w:sz w:val="24"/>
          <w:szCs w:val="24"/>
        </w:rPr>
        <w:t>management.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Explain the management of Disseminated Intravascula</w:t>
      </w:r>
      <w:r>
        <w:rPr>
          <w:rFonts w:cs="SegoeUI-Semilight"/>
          <w:sz w:val="24"/>
          <w:szCs w:val="24"/>
        </w:rPr>
        <w:t xml:space="preserve">r Coagulation (DIC) in oncology </w:t>
      </w:r>
      <w:r w:rsidRPr="001A7BEA">
        <w:rPr>
          <w:rFonts w:cs="SegoeUI-Semilight"/>
          <w:sz w:val="24"/>
          <w:szCs w:val="24"/>
        </w:rPr>
        <w:t>patients.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Describe signs and symptoms of superior vena ca</w:t>
      </w:r>
      <w:r>
        <w:rPr>
          <w:rFonts w:cs="SegoeUI-Semilight"/>
          <w:sz w:val="24"/>
          <w:szCs w:val="24"/>
        </w:rPr>
        <w:t xml:space="preserve">va syndrome and its appropriate </w:t>
      </w:r>
      <w:r w:rsidRPr="001A7BEA">
        <w:rPr>
          <w:rFonts w:cs="SegoeUI-Semilight"/>
          <w:sz w:val="24"/>
          <w:szCs w:val="24"/>
        </w:rPr>
        <w:t>management.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List the laboratory findings diagnostic of Syndrome of Inapp</w:t>
      </w:r>
      <w:r>
        <w:rPr>
          <w:rFonts w:cs="SegoeUI-Semilight"/>
          <w:sz w:val="24"/>
          <w:szCs w:val="24"/>
        </w:rPr>
        <w:t xml:space="preserve">ropriate Anti-Diuretic Hormone </w:t>
      </w:r>
      <w:r w:rsidRPr="001A7BEA">
        <w:rPr>
          <w:rFonts w:cs="SegoeUI-Semilight"/>
          <w:sz w:val="24"/>
          <w:szCs w:val="24"/>
        </w:rPr>
        <w:t>(SIADH).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Explain risks and management of tumor lysis syndrome.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Recognize common signs and symptoms of cardiac tamponade.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Identify management measures for hypercalcemia.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Identify symptoms of increased intracranial pressure.</w:t>
      </w:r>
    </w:p>
    <w:p w:rsidR="00F11CC9" w:rsidRPr="001A7BEA" w:rsidRDefault="001A7BEA" w:rsidP="001A7BEA">
      <w:pPr>
        <w:rPr>
          <w:rFonts w:cs="SegoeUI-SemilightItalic"/>
          <w:i/>
          <w:iCs/>
          <w:sz w:val="24"/>
          <w:szCs w:val="24"/>
        </w:rPr>
      </w:pPr>
      <w:r w:rsidRPr="001A7BEA">
        <w:rPr>
          <w:rFonts w:cs="SegoeUI-Semilight"/>
          <w:sz w:val="24"/>
          <w:szCs w:val="24"/>
        </w:rPr>
        <w:t>• Identify symptoms and management of superior vena cava syndrome.</w:t>
      </w:r>
    </w:p>
    <w:p w:rsidR="00F11CC9" w:rsidRPr="001A7BEA" w:rsidRDefault="00F11CC9" w:rsidP="00A57FCD">
      <w:pPr>
        <w:rPr>
          <w:rFonts w:cs="SegoeUI-SemilightItalic"/>
          <w:i/>
          <w:iCs/>
          <w:sz w:val="24"/>
          <w:szCs w:val="24"/>
        </w:rPr>
      </w:pPr>
    </w:p>
    <w:p w:rsidR="00F11CC9" w:rsidRPr="00F11CC9" w:rsidRDefault="00F11CC9" w:rsidP="00A57FCD">
      <w:pPr>
        <w:rPr>
          <w:rFonts w:cs="SegoeUI-SemilightItalic"/>
          <w:i/>
          <w:iCs/>
          <w:sz w:val="24"/>
          <w:szCs w:val="24"/>
        </w:rPr>
      </w:pPr>
    </w:p>
    <w:p w:rsidR="00A57FCD" w:rsidRPr="001A7BEA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611542" w:rsidRPr="001A7BEA" w:rsidRDefault="00611542" w:rsidP="00A57FCD">
      <w:pPr>
        <w:rPr>
          <w:rFonts w:cs="SegoeUI-SemilightItalic"/>
          <w:sz w:val="24"/>
          <w:szCs w:val="24"/>
        </w:rPr>
      </w:pP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Teaching methods will be used to assist participants in achieving course objectives include: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• Presentation.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• Independent study.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• Audiovisual aids.</w:t>
      </w:r>
    </w:p>
    <w:p w:rsidR="001A7BEA" w:rsidRPr="001A7BEA" w:rsidRDefault="001A7BEA" w:rsidP="001A7BEA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• Case study.</w:t>
      </w:r>
    </w:p>
    <w:p w:rsidR="008025C4" w:rsidRPr="001A7BEA" w:rsidRDefault="001A7BEA" w:rsidP="001A7BEA">
      <w:pPr>
        <w:rPr>
          <w:sz w:val="24"/>
          <w:szCs w:val="24"/>
        </w:rPr>
      </w:pPr>
      <w:r w:rsidRPr="001A7BEA">
        <w:rPr>
          <w:rFonts w:cs="SegoeUI-SemilightItalic"/>
          <w:sz w:val="24"/>
          <w:szCs w:val="24"/>
        </w:rPr>
        <w:t>• Discussion (seminar approach).</w:t>
      </w:r>
    </w:p>
    <w:sectPr w:rsidR="008025C4" w:rsidRPr="001A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0C5B1F"/>
    <w:rsid w:val="001A7BEA"/>
    <w:rsid w:val="001C38DB"/>
    <w:rsid w:val="00210F84"/>
    <w:rsid w:val="00395762"/>
    <w:rsid w:val="00436C45"/>
    <w:rsid w:val="004376C0"/>
    <w:rsid w:val="004D7D3D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BF68E9"/>
    <w:rsid w:val="00C22D93"/>
    <w:rsid w:val="00CF28AF"/>
    <w:rsid w:val="00F11CC9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30</cp:revision>
  <dcterms:created xsi:type="dcterms:W3CDTF">2018-12-27T08:01:00Z</dcterms:created>
  <dcterms:modified xsi:type="dcterms:W3CDTF">2018-12-27T11:50:00Z</dcterms:modified>
</cp:coreProperties>
</file>