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897D3B" w:rsidRDefault="008025C4" w:rsidP="0003166E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03166E">
        <w:rPr>
          <w:rFonts w:asciiTheme="minorHAnsi" w:hAnsiTheme="minorHAnsi" w:cs="SegoeUI-Bold"/>
          <w:b/>
          <w:bCs/>
          <w:color w:val="auto"/>
        </w:rPr>
        <w:t>Leukemia Course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03166E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8B7E23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03166E">
        <w:rPr>
          <w:rFonts w:cs="SegoeUI-Semilight"/>
          <w:sz w:val="24"/>
          <w:szCs w:val="24"/>
        </w:rPr>
        <w:t>Leukemia course focus on providing comprehensive, practical information about le</w:t>
      </w:r>
      <w:r>
        <w:rPr>
          <w:rFonts w:cs="SegoeUI-Semilight"/>
          <w:sz w:val="24"/>
          <w:szCs w:val="24"/>
        </w:rPr>
        <w:t xml:space="preserve">ukemia. Developing </w:t>
      </w:r>
      <w:proofErr w:type="gramStart"/>
      <w:r>
        <w:rPr>
          <w:rFonts w:cs="SegoeUI-Semilight"/>
          <w:sz w:val="24"/>
          <w:szCs w:val="24"/>
        </w:rPr>
        <w:t>participants</w:t>
      </w:r>
      <w:proofErr w:type="gramEnd"/>
      <w:r>
        <w:rPr>
          <w:rFonts w:cs="SegoeUI-Semilight"/>
          <w:sz w:val="24"/>
          <w:szCs w:val="24"/>
        </w:rPr>
        <w:t xml:space="preserve"> </w:t>
      </w:r>
      <w:r w:rsidRPr="0003166E">
        <w:rPr>
          <w:rFonts w:cs="SegoeUI-Semilight"/>
          <w:sz w:val="24"/>
          <w:szCs w:val="24"/>
        </w:rPr>
        <w:t>knowledge and skills that help in developing their career and improving the care fo</w:t>
      </w:r>
      <w:r>
        <w:rPr>
          <w:rFonts w:cs="SegoeUI-Semilight"/>
          <w:sz w:val="24"/>
          <w:szCs w:val="24"/>
        </w:rPr>
        <w:t xml:space="preserve">r leukemia patient based on the </w:t>
      </w:r>
      <w:r w:rsidRPr="0003166E">
        <w:rPr>
          <w:rFonts w:cs="SegoeUI-Semilight"/>
          <w:sz w:val="24"/>
          <w:szCs w:val="24"/>
        </w:rPr>
        <w:t>latest available evidences.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bookmarkStart w:id="0" w:name="_GoBack"/>
      <w:bookmarkEnd w:id="0"/>
    </w:p>
    <w:p w:rsidR="008025C4" w:rsidRPr="0003166E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03166E" w:rsidRPr="0003166E" w:rsidRDefault="0003166E" w:rsidP="008025C4">
      <w:pPr>
        <w:rPr>
          <w:rFonts w:cs="SegoeUI-Semilight"/>
          <w:sz w:val="24"/>
          <w:szCs w:val="24"/>
        </w:rPr>
      </w:pPr>
      <w:r w:rsidRPr="0003166E">
        <w:rPr>
          <w:rFonts w:cs="SegoeUI-Semilight"/>
          <w:sz w:val="24"/>
          <w:szCs w:val="24"/>
        </w:rPr>
        <w:t xml:space="preserve">All registered nurses (especially those who deal with </w:t>
      </w:r>
      <w:proofErr w:type="spellStart"/>
      <w:r w:rsidRPr="0003166E">
        <w:rPr>
          <w:rFonts w:cs="SegoeUI-Semilight"/>
          <w:sz w:val="24"/>
          <w:szCs w:val="24"/>
        </w:rPr>
        <w:t>leukemic</w:t>
      </w:r>
      <w:proofErr w:type="spellEnd"/>
      <w:r w:rsidRPr="0003166E">
        <w:rPr>
          <w:rFonts w:cs="SegoeUI-Semilight"/>
          <w:sz w:val="24"/>
          <w:szCs w:val="24"/>
        </w:rPr>
        <w:t xml:space="preserve"> patients).</w:t>
      </w:r>
    </w:p>
    <w:p w:rsidR="008025C4" w:rsidRPr="0003166E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OBJECTIVES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  <w:sz w:val="24"/>
          <w:szCs w:val="24"/>
        </w:rPr>
      </w:pPr>
      <w:r w:rsidRPr="0003166E">
        <w:rPr>
          <w:rFonts w:cs="SegoeUI-SemilightItalic"/>
          <w:i/>
          <w:iCs/>
          <w:sz w:val="24"/>
          <w:szCs w:val="24"/>
        </w:rPr>
        <w:t>At the end of this 2 days course, participants will be able to: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03166E">
        <w:rPr>
          <w:rFonts w:cs="SegoeUI-Semilight"/>
          <w:sz w:val="24"/>
          <w:szCs w:val="24"/>
        </w:rPr>
        <w:t>• Explain the hematopoiesis process.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03166E">
        <w:rPr>
          <w:rFonts w:cs="SegoeUI-Semilight"/>
          <w:sz w:val="24"/>
          <w:szCs w:val="24"/>
        </w:rPr>
        <w:t>• Define leukemia as a disease.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03166E">
        <w:rPr>
          <w:rFonts w:cs="SegoeUI-Semilight"/>
          <w:sz w:val="24"/>
          <w:szCs w:val="24"/>
        </w:rPr>
        <w:t>• Identify the types of leukemia.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03166E">
        <w:rPr>
          <w:rFonts w:cs="SegoeUI-Semilight"/>
          <w:sz w:val="24"/>
          <w:szCs w:val="24"/>
        </w:rPr>
        <w:t>• Compare the major types of leukemia regarding clinical &amp; lab finding.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03166E">
        <w:rPr>
          <w:rFonts w:cs="SegoeUI-Semilight"/>
          <w:sz w:val="24"/>
          <w:szCs w:val="24"/>
        </w:rPr>
        <w:t>• Distinguish among different treatment modalities.</w:t>
      </w:r>
    </w:p>
    <w:p w:rsidR="0003166E" w:rsidRPr="0003166E" w:rsidRDefault="0003166E" w:rsidP="0003166E">
      <w:pPr>
        <w:rPr>
          <w:rFonts w:cs="SegoeUI-SemilightItalic"/>
          <w:sz w:val="24"/>
          <w:szCs w:val="24"/>
        </w:rPr>
      </w:pPr>
      <w:r w:rsidRPr="0003166E">
        <w:rPr>
          <w:rFonts w:cs="SegoeUI-Semilight"/>
          <w:sz w:val="24"/>
          <w:szCs w:val="24"/>
        </w:rPr>
        <w:t>• Understand the principles of nursing management for patients with leukemia.</w:t>
      </w:r>
    </w:p>
    <w:p w:rsidR="0003166E" w:rsidRPr="0003166E" w:rsidRDefault="0003166E" w:rsidP="008025C4">
      <w:pPr>
        <w:rPr>
          <w:rFonts w:cs="SegoeUI-SemilightItalic"/>
          <w:sz w:val="24"/>
          <w:szCs w:val="24"/>
        </w:rPr>
      </w:pPr>
    </w:p>
    <w:p w:rsidR="008025C4" w:rsidRPr="0003166E" w:rsidRDefault="008025C4" w:rsidP="008025C4">
      <w:pPr>
        <w:rPr>
          <w:rFonts w:cs="SegoeUI-Semibold"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03166E">
        <w:rPr>
          <w:rFonts w:cs="SegoeUI-SemilightItalic"/>
          <w:sz w:val="24"/>
          <w:szCs w:val="24"/>
        </w:rPr>
        <w:t>To achieve training outcome, materials will include but not limited to the following: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03166E">
        <w:rPr>
          <w:rFonts w:cs="SegoeUI-SemilightItalic"/>
          <w:sz w:val="24"/>
          <w:szCs w:val="24"/>
        </w:rPr>
        <w:t>• PowerPoint presentations.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03166E">
        <w:rPr>
          <w:rFonts w:cs="SegoeUI-SemilightItalic"/>
          <w:sz w:val="24"/>
          <w:szCs w:val="24"/>
        </w:rPr>
        <w:t>• Handouts.</w:t>
      </w:r>
    </w:p>
    <w:p w:rsidR="0003166E" w:rsidRPr="0003166E" w:rsidRDefault="0003166E" w:rsidP="0003166E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03166E">
        <w:rPr>
          <w:rFonts w:cs="SegoeUI-SemilightItalic"/>
          <w:sz w:val="24"/>
          <w:szCs w:val="24"/>
        </w:rPr>
        <w:t>• Articles.</w:t>
      </w:r>
    </w:p>
    <w:p w:rsidR="008025C4" w:rsidRPr="0003166E" w:rsidRDefault="0003166E" w:rsidP="0003166E">
      <w:pPr>
        <w:rPr>
          <w:sz w:val="24"/>
          <w:szCs w:val="24"/>
        </w:rPr>
      </w:pPr>
      <w:r w:rsidRPr="0003166E">
        <w:rPr>
          <w:rFonts w:cs="SegoeUI-SemilightItalic"/>
          <w:sz w:val="24"/>
          <w:szCs w:val="24"/>
        </w:rPr>
        <w:t>• Internet and computer search.</w:t>
      </w:r>
    </w:p>
    <w:sectPr w:rsidR="008025C4" w:rsidRPr="0003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03166E"/>
    <w:rsid w:val="00210F84"/>
    <w:rsid w:val="008025C4"/>
    <w:rsid w:val="00821D4B"/>
    <w:rsid w:val="00882270"/>
    <w:rsid w:val="0089224E"/>
    <w:rsid w:val="00897D3B"/>
    <w:rsid w:val="008B7E23"/>
    <w:rsid w:val="00CF28AF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9</cp:revision>
  <dcterms:created xsi:type="dcterms:W3CDTF">2018-12-27T08:01:00Z</dcterms:created>
  <dcterms:modified xsi:type="dcterms:W3CDTF">2018-12-27T08:38:00Z</dcterms:modified>
</cp:coreProperties>
</file>