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C4" w:rsidRDefault="008025C4" w:rsidP="008025C4">
      <w:pPr>
        <w:pStyle w:val="Default"/>
        <w:rPr>
          <w:rFonts w:cstheme="minorBidi"/>
          <w:color w:val="auto"/>
          <w:sz w:val="40"/>
          <w:szCs w:val="40"/>
          <w:u w:val="single"/>
        </w:rPr>
      </w:pPr>
      <w:r>
        <w:rPr>
          <w:rFonts w:cstheme="minorBidi"/>
          <w:color w:val="auto"/>
          <w:sz w:val="40"/>
          <w:szCs w:val="40"/>
          <w:u w:val="single"/>
        </w:rPr>
        <w:t>Education and Training Academy</w:t>
      </w:r>
    </w:p>
    <w:p w:rsidR="008025C4" w:rsidRDefault="008025C4" w:rsidP="008025C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8025C4" w:rsidRPr="008025C4" w:rsidRDefault="008025C4" w:rsidP="008025C4">
      <w:pPr>
        <w:pStyle w:val="Default"/>
        <w:rPr>
          <w:rFonts w:cstheme="minorBidi"/>
          <w:color w:val="auto"/>
          <w:sz w:val="28"/>
          <w:szCs w:val="28"/>
        </w:rPr>
      </w:pPr>
      <w:r w:rsidRPr="008025C4">
        <w:rPr>
          <w:rFonts w:cstheme="minorBidi"/>
          <w:b/>
          <w:bCs/>
          <w:color w:val="auto"/>
          <w:sz w:val="28"/>
          <w:szCs w:val="28"/>
        </w:rPr>
        <w:t xml:space="preserve">Training Center </w:t>
      </w:r>
    </w:p>
    <w:p w:rsidR="00897D3B" w:rsidRPr="00897D3B" w:rsidRDefault="008025C4" w:rsidP="00897D3B">
      <w:pPr>
        <w:pStyle w:val="Default"/>
        <w:rPr>
          <w:rFonts w:asciiTheme="minorHAnsi" w:hAnsiTheme="minorHAnsi" w:cs="SegoeUI-Bold"/>
          <w:b/>
          <w:bCs/>
          <w:color w:val="auto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Name: </w:t>
      </w:r>
      <w:r w:rsidR="00897D3B" w:rsidRPr="00897D3B">
        <w:rPr>
          <w:rFonts w:asciiTheme="minorHAnsi" w:hAnsiTheme="minorHAnsi" w:cs="SegoeUI-Bold"/>
          <w:b/>
          <w:bCs/>
          <w:color w:val="auto"/>
        </w:rPr>
        <w:t>Chemotherapy Cour</w:t>
      </w:r>
      <w:r w:rsidR="00897D3B">
        <w:rPr>
          <w:rFonts w:asciiTheme="minorHAnsi" w:hAnsiTheme="minorHAnsi" w:cs="SegoeUI-Bold"/>
          <w:b/>
          <w:bCs/>
          <w:color w:val="auto"/>
        </w:rPr>
        <w:t>se</w:t>
      </w:r>
    </w:p>
    <w:p w:rsidR="008025C4" w:rsidRPr="008025C4" w:rsidRDefault="008025C4" w:rsidP="00897D3B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Accreditation: Accredited by ANCC </w:t>
      </w:r>
    </w:p>
    <w:p w:rsidR="008025C4" w:rsidRDefault="008025C4"/>
    <w:p w:rsidR="008025C4" w:rsidRPr="00897D3B" w:rsidRDefault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COURSE OVERVIEW</w:t>
      </w:r>
    </w:p>
    <w:p w:rsidR="008025C4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As chemotherapy management is essential in oncology care, nurse</w:t>
      </w:r>
      <w:r>
        <w:rPr>
          <w:rFonts w:cs="SegoeUI-Semilight"/>
          <w:sz w:val="24"/>
          <w:szCs w:val="24"/>
        </w:rPr>
        <w:t xml:space="preserve">s should be highly competent in </w:t>
      </w:r>
      <w:r w:rsidRPr="00897D3B">
        <w:rPr>
          <w:rFonts w:cs="SegoeUI-Semilight"/>
          <w:sz w:val="24"/>
          <w:szCs w:val="24"/>
        </w:rPr>
        <w:t>administration and safety precaution in dealing with chemotherapy. This cours</w:t>
      </w:r>
      <w:r>
        <w:rPr>
          <w:rFonts w:cs="SegoeUI-Semilight"/>
          <w:sz w:val="24"/>
          <w:szCs w:val="24"/>
        </w:rPr>
        <w:t xml:space="preserve">e aims to train staff nurses on </w:t>
      </w:r>
      <w:r w:rsidRPr="00897D3B">
        <w:rPr>
          <w:rFonts w:cs="SegoeUI-Semilight"/>
          <w:sz w:val="24"/>
          <w:szCs w:val="24"/>
        </w:rPr>
        <w:t>chemotherapy safe administration. The eight-day course focuses on administrat</w:t>
      </w:r>
      <w:r>
        <w:rPr>
          <w:rFonts w:cs="SegoeUI-Semilight"/>
          <w:sz w:val="24"/>
          <w:szCs w:val="24"/>
        </w:rPr>
        <w:t xml:space="preserve">ion, safe handling, and dealing </w:t>
      </w:r>
      <w:r w:rsidRPr="00897D3B">
        <w:rPr>
          <w:rFonts w:cs="SegoeUI-Semilight"/>
          <w:sz w:val="24"/>
          <w:szCs w:val="24"/>
        </w:rPr>
        <w:t>with side ef</w:t>
      </w:r>
      <w:r>
        <w:rPr>
          <w:rFonts w:cs="SegoeUI-Semilight"/>
          <w:sz w:val="24"/>
          <w:szCs w:val="24"/>
        </w:rPr>
        <w:t xml:space="preserve">fects which might emerge during </w:t>
      </w:r>
      <w:r w:rsidRPr="00897D3B">
        <w:rPr>
          <w:rFonts w:cs="SegoeUI-Semilight"/>
          <w:sz w:val="24"/>
          <w:szCs w:val="24"/>
        </w:rPr>
        <w:t>chemotherapy by providing p</w:t>
      </w:r>
      <w:r>
        <w:rPr>
          <w:rFonts w:cs="SegoeUI-Semilight"/>
          <w:sz w:val="24"/>
          <w:szCs w:val="24"/>
        </w:rPr>
        <w:t xml:space="preserve">articipants with the underlying </w:t>
      </w:r>
      <w:r w:rsidRPr="00897D3B">
        <w:rPr>
          <w:rFonts w:cs="SegoeUI-Semilight"/>
          <w:sz w:val="24"/>
          <w:szCs w:val="24"/>
        </w:rPr>
        <w:t>principles and review of safe practices related to administration and ongoing management of chemotherapy.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</w:p>
    <w:p w:rsidR="008025C4" w:rsidRPr="00CF28AF" w:rsidRDefault="008025C4" w:rsidP="008025C4">
      <w:pPr>
        <w:rPr>
          <w:rFonts w:cs="SegoeUI-Semibold"/>
          <w:b/>
          <w:bCs/>
          <w:sz w:val="28"/>
          <w:szCs w:val="28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TARGET AUDIENCE</w:t>
      </w:r>
    </w:p>
    <w:p w:rsidR="00897D3B" w:rsidRPr="00897D3B" w:rsidRDefault="00897D3B" w:rsidP="008025C4">
      <w:pPr>
        <w:rPr>
          <w:rFonts w:ascii="SegoeUI-Semilight" w:hAnsi="SegoeUI-Semilight" w:cs="SegoeUI-Semilight"/>
          <w:sz w:val="20"/>
          <w:szCs w:val="20"/>
        </w:rPr>
      </w:pPr>
      <w:r w:rsidRPr="00897D3B">
        <w:rPr>
          <w:rFonts w:ascii="SegoeUI-Semilight" w:hAnsi="SegoeUI-Semilight" w:cs="SegoeUI-Semilight"/>
          <w:sz w:val="20"/>
          <w:szCs w:val="20"/>
        </w:rPr>
        <w:t>Staff nurse working with oncology patients.</w:t>
      </w:r>
    </w:p>
    <w:p w:rsidR="00F91B41" w:rsidRDefault="00F91B41" w:rsidP="008025C4">
      <w:pPr>
        <w:rPr>
          <w:rFonts w:cs="SegoeUI-Semibold"/>
          <w:b/>
          <w:bCs/>
          <w:sz w:val="28"/>
          <w:szCs w:val="28"/>
          <w:u w:val="single"/>
        </w:rPr>
      </w:pPr>
    </w:p>
    <w:p w:rsidR="008025C4" w:rsidRPr="00897D3B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bookmarkStart w:id="0" w:name="_GoBack"/>
      <w:bookmarkEnd w:id="0"/>
      <w:r w:rsidRPr="00CF28AF">
        <w:rPr>
          <w:rFonts w:cs="SegoeUI-Semibold"/>
          <w:b/>
          <w:bCs/>
          <w:sz w:val="28"/>
          <w:szCs w:val="28"/>
          <w:u w:val="single"/>
        </w:rPr>
        <w:t>OBJECTIVES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Italic"/>
          <w:i/>
          <w:iCs/>
          <w:sz w:val="24"/>
          <w:szCs w:val="24"/>
        </w:rPr>
      </w:pPr>
      <w:r w:rsidRPr="00897D3B">
        <w:rPr>
          <w:rFonts w:cs="SegoeUI-SemilightItalic"/>
          <w:i/>
          <w:iCs/>
          <w:sz w:val="24"/>
          <w:szCs w:val="24"/>
        </w:rPr>
        <w:t>At the end of this 8 days course, participants will be able to: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Differentiate between different cancer treatments modalities.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Discuss the goals of chemotherapy treatment.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Identify how the tumor response to chemotherapy is measured.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Identify Chemotherapy safe handling measures for staff and patients.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Discuss the cell life cycle, treatment effects and the activity associated with each cycle of cell division.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List cytotoxic agents’ classification.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List and discuss examples of chemotherapy drugs from each classification.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Discuss chemotherapy protocols including BSA, ANC and Drug doses calculations.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Discuss chemotherapy complications and management.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Discuss the cytotoxic agents spill management.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Identify chemotherapy side effects and their management.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Provide patient family education about chemotherapy agents.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Rationalize the development of combination drug protocols.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Demonstrate chemotherapy competencies during chemotherapy administration procedures.</w:t>
      </w:r>
    </w:p>
    <w:p w:rsidR="008025C4" w:rsidRPr="00897D3B" w:rsidRDefault="00897D3B" w:rsidP="00897D3B">
      <w:pPr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Apply safe handling principles during chemotherapy administration procedures</w:t>
      </w:r>
    </w:p>
    <w:p w:rsidR="00897D3B" w:rsidRDefault="00897D3B" w:rsidP="008025C4">
      <w:pPr>
        <w:rPr>
          <w:rFonts w:cs="SegoeUI-Semibold"/>
          <w:b/>
          <w:bCs/>
          <w:sz w:val="28"/>
          <w:szCs w:val="28"/>
          <w:u w:val="single"/>
        </w:rPr>
      </w:pPr>
    </w:p>
    <w:p w:rsidR="00F91B41" w:rsidRDefault="00F91B41" w:rsidP="008025C4">
      <w:pPr>
        <w:rPr>
          <w:rFonts w:cs="SegoeUI-Semibold"/>
          <w:b/>
          <w:bCs/>
          <w:sz w:val="28"/>
          <w:szCs w:val="28"/>
          <w:u w:val="single"/>
        </w:rPr>
      </w:pPr>
    </w:p>
    <w:p w:rsidR="00F91B41" w:rsidRDefault="00F91B41" w:rsidP="008025C4">
      <w:pPr>
        <w:rPr>
          <w:rFonts w:cs="SegoeUI-Semibold"/>
          <w:b/>
          <w:bCs/>
          <w:sz w:val="28"/>
          <w:szCs w:val="28"/>
          <w:u w:val="single"/>
        </w:rPr>
      </w:pPr>
    </w:p>
    <w:p w:rsidR="008025C4" w:rsidRPr="00897D3B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TEACHING STRATEGIES</w:t>
      </w:r>
    </w:p>
    <w:p w:rsidR="008025C4" w:rsidRPr="00897D3B" w:rsidRDefault="008025C4" w:rsidP="008025C4">
      <w:pPr>
        <w:autoSpaceDE w:val="0"/>
        <w:autoSpaceDN w:val="0"/>
        <w:adjustRightInd w:val="0"/>
        <w:spacing w:after="0" w:line="240" w:lineRule="auto"/>
        <w:rPr>
          <w:rFonts w:cs="SegoeUI-SemilightItalic"/>
          <w:i/>
          <w:iCs/>
          <w:sz w:val="24"/>
          <w:szCs w:val="24"/>
        </w:rPr>
      </w:pPr>
      <w:r w:rsidRPr="00897D3B">
        <w:rPr>
          <w:rFonts w:cs="SegoeUI-SemilightItalic"/>
          <w:i/>
          <w:iCs/>
          <w:sz w:val="24"/>
          <w:szCs w:val="24"/>
        </w:rPr>
        <w:t xml:space="preserve">The following blended learning approach will allow 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Italic"/>
          <w:i/>
          <w:iCs/>
          <w:sz w:val="24"/>
          <w:szCs w:val="24"/>
        </w:rPr>
      </w:pPr>
      <w:r w:rsidRPr="00897D3B">
        <w:rPr>
          <w:rFonts w:cs="SegoeUI-SemilightItalic"/>
          <w:i/>
          <w:iCs/>
          <w:sz w:val="24"/>
          <w:szCs w:val="24"/>
        </w:rPr>
        <w:t>Teaching learning methods utilized to assist participants in achieving course objectives include: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Power Point Presentations.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Demonstration.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Role play.</w:t>
      </w:r>
    </w:p>
    <w:p w:rsidR="00897D3B" w:rsidRPr="00897D3B" w:rsidRDefault="00897D3B" w:rsidP="00897D3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Case studies.</w:t>
      </w:r>
    </w:p>
    <w:p w:rsidR="008025C4" w:rsidRPr="00897D3B" w:rsidRDefault="00897D3B" w:rsidP="00897D3B">
      <w:pPr>
        <w:rPr>
          <w:sz w:val="24"/>
          <w:szCs w:val="24"/>
        </w:rPr>
      </w:pPr>
      <w:r w:rsidRPr="00897D3B">
        <w:rPr>
          <w:rFonts w:cs="SegoeUI-Semilight"/>
          <w:sz w:val="24"/>
          <w:szCs w:val="24"/>
        </w:rPr>
        <w:t>• Group work</w:t>
      </w:r>
    </w:p>
    <w:sectPr w:rsidR="008025C4" w:rsidRPr="00897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C4"/>
    <w:rsid w:val="008025C4"/>
    <w:rsid w:val="00821D4B"/>
    <w:rsid w:val="0089224E"/>
    <w:rsid w:val="00897D3B"/>
    <w:rsid w:val="00CF28AF"/>
    <w:rsid w:val="00F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07EB-025C-4D48-BCB3-B93F439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2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Abdelhamid</dc:creator>
  <cp:keywords/>
  <dc:description/>
  <cp:lastModifiedBy>Omar Abdelhamid</cp:lastModifiedBy>
  <cp:revision>5</cp:revision>
  <dcterms:created xsi:type="dcterms:W3CDTF">2018-12-27T08:01:00Z</dcterms:created>
  <dcterms:modified xsi:type="dcterms:W3CDTF">2018-12-27T08:25:00Z</dcterms:modified>
</cp:coreProperties>
</file>