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5C4" w:rsidRDefault="008025C4" w:rsidP="008025C4">
      <w:pPr>
        <w:pStyle w:val="Default"/>
        <w:rPr>
          <w:rFonts w:cstheme="minorBidi"/>
          <w:color w:val="auto"/>
          <w:sz w:val="40"/>
          <w:szCs w:val="40"/>
          <w:u w:val="single"/>
        </w:rPr>
      </w:pPr>
      <w:r>
        <w:rPr>
          <w:rFonts w:cstheme="minorBidi"/>
          <w:color w:val="auto"/>
          <w:sz w:val="40"/>
          <w:szCs w:val="40"/>
          <w:u w:val="single"/>
        </w:rPr>
        <w:t>Education and Training Academy</w:t>
      </w:r>
    </w:p>
    <w:p w:rsidR="008025C4" w:rsidRDefault="008025C4" w:rsidP="008025C4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8025C4" w:rsidRPr="008025C4" w:rsidRDefault="008025C4" w:rsidP="008025C4">
      <w:pPr>
        <w:pStyle w:val="Default"/>
        <w:rPr>
          <w:rFonts w:cstheme="minorBidi"/>
          <w:color w:val="auto"/>
          <w:sz w:val="28"/>
          <w:szCs w:val="28"/>
        </w:rPr>
      </w:pPr>
      <w:r w:rsidRPr="008025C4">
        <w:rPr>
          <w:rFonts w:cstheme="minorBidi"/>
          <w:b/>
          <w:bCs/>
          <w:color w:val="auto"/>
          <w:sz w:val="28"/>
          <w:szCs w:val="28"/>
        </w:rPr>
        <w:t xml:space="preserve">Training Center </w:t>
      </w:r>
    </w:p>
    <w:p w:rsidR="00897D3B" w:rsidRPr="00C22D93" w:rsidRDefault="008025C4" w:rsidP="00611542">
      <w:pPr>
        <w:pStyle w:val="Default"/>
        <w:rPr>
          <w:rFonts w:asciiTheme="minorHAnsi" w:hAnsiTheme="minorHAnsi" w:cs="SegoeUI-Bold"/>
          <w:b/>
          <w:bCs/>
          <w:color w:val="auto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Course Name: </w:t>
      </w:r>
      <w:r w:rsidR="00611542">
        <w:rPr>
          <w:rFonts w:asciiTheme="minorHAnsi" w:hAnsiTheme="minorHAnsi" w:cs="SegoeUI-Bold"/>
          <w:b/>
          <w:bCs/>
          <w:color w:val="auto"/>
        </w:rPr>
        <w:t>Charge Nurse Course</w:t>
      </w:r>
    </w:p>
    <w:p w:rsidR="008025C4" w:rsidRPr="008025C4" w:rsidRDefault="008025C4" w:rsidP="00897D3B">
      <w:pPr>
        <w:pStyle w:val="Default"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t xml:space="preserve">Accreditation: Accredited by ANCC </w:t>
      </w:r>
    </w:p>
    <w:p w:rsidR="008025C4" w:rsidRDefault="008025C4"/>
    <w:p w:rsidR="008025C4" w:rsidRPr="00611542" w:rsidRDefault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COURSE OVERVIEW</w:t>
      </w:r>
    </w:p>
    <w:p w:rsidR="008D7895" w:rsidRDefault="00611542" w:rsidP="001C38DB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611542">
        <w:rPr>
          <w:rFonts w:cs="SegoeUI-Semilight"/>
          <w:sz w:val="24"/>
          <w:szCs w:val="24"/>
        </w:rPr>
        <w:t>Charge nurse leaders are essential in assessing, planning, and implementing quality patient care. These leaders</w:t>
      </w:r>
      <w:r w:rsidR="001C38DB">
        <w:rPr>
          <w:rFonts w:cs="SegoeUI-Semilight"/>
          <w:sz w:val="24"/>
          <w:szCs w:val="24"/>
        </w:rPr>
        <w:t xml:space="preserve"> </w:t>
      </w:r>
      <w:r w:rsidRPr="00611542">
        <w:rPr>
          <w:rFonts w:cs="SegoeUI-Semilight"/>
          <w:sz w:val="24"/>
          <w:szCs w:val="24"/>
        </w:rPr>
        <w:t>consistently make decisions, mentor, prioritize staffing needs, participate with patient care, and influence</w:t>
      </w:r>
      <w:r w:rsidR="001C38DB">
        <w:rPr>
          <w:rFonts w:cs="SegoeUI-Semilight"/>
          <w:sz w:val="24"/>
          <w:szCs w:val="24"/>
        </w:rPr>
        <w:t xml:space="preserve"> </w:t>
      </w:r>
      <w:r w:rsidRPr="00611542">
        <w:rPr>
          <w:rFonts w:cs="SegoeUI-Semilight"/>
          <w:sz w:val="24"/>
          <w:szCs w:val="24"/>
        </w:rPr>
        <w:t>disciplinary determination. Effective leadership is fundamental to staff retention and empowerment, satisfaction,</w:t>
      </w:r>
      <w:r w:rsidR="001C38DB">
        <w:rPr>
          <w:rFonts w:cs="SegoeUI-Semilight"/>
          <w:sz w:val="24"/>
          <w:szCs w:val="24"/>
        </w:rPr>
        <w:t xml:space="preserve"> </w:t>
      </w:r>
      <w:r w:rsidRPr="00611542">
        <w:rPr>
          <w:rFonts w:cs="SegoeUI-Semilight"/>
          <w:sz w:val="24"/>
          <w:szCs w:val="24"/>
        </w:rPr>
        <w:t>and improved patient care. Therefore, this course is designed to deliver the required knowledge, skills, and</w:t>
      </w:r>
      <w:r w:rsidR="001C38DB">
        <w:rPr>
          <w:rFonts w:cs="SegoeUI-Semilight"/>
          <w:sz w:val="24"/>
          <w:szCs w:val="24"/>
        </w:rPr>
        <w:t xml:space="preserve"> </w:t>
      </w:r>
      <w:r w:rsidRPr="00611542">
        <w:rPr>
          <w:rFonts w:cs="SegoeUI-Semilight"/>
          <w:sz w:val="24"/>
          <w:szCs w:val="24"/>
        </w:rPr>
        <w:t>attitude to prepare charge nurse leaders.</w:t>
      </w:r>
    </w:p>
    <w:p w:rsidR="00611542" w:rsidRPr="00611542" w:rsidRDefault="00611542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</w:p>
    <w:p w:rsidR="008025C4" w:rsidRPr="00611542" w:rsidRDefault="008025C4" w:rsidP="008025C4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TARGET AUDIENCE</w:t>
      </w:r>
      <w:bookmarkStart w:id="0" w:name="_GoBack"/>
      <w:bookmarkEnd w:id="0"/>
    </w:p>
    <w:p w:rsidR="00611542" w:rsidRPr="00611542" w:rsidRDefault="00611542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611542">
        <w:rPr>
          <w:rFonts w:cs="SegoeUI-Semilight"/>
          <w:sz w:val="24"/>
          <w:szCs w:val="24"/>
        </w:rPr>
        <w:t>Charge nurses.</w:t>
      </w:r>
    </w:p>
    <w:p w:rsidR="00611542" w:rsidRPr="00611542" w:rsidRDefault="00611542" w:rsidP="00611542">
      <w:pPr>
        <w:rPr>
          <w:rFonts w:cs="SegoeUI-Semilight"/>
          <w:sz w:val="24"/>
          <w:szCs w:val="24"/>
        </w:rPr>
      </w:pPr>
      <w:r w:rsidRPr="00611542">
        <w:rPr>
          <w:rFonts w:cs="SegoeUI-Semilight"/>
          <w:sz w:val="24"/>
          <w:szCs w:val="24"/>
        </w:rPr>
        <w:t>• Nurses with more than three years of experience.</w:t>
      </w:r>
    </w:p>
    <w:p w:rsidR="00611542" w:rsidRPr="00611542" w:rsidRDefault="00611542" w:rsidP="00611542">
      <w:pPr>
        <w:rPr>
          <w:rFonts w:cs="SegoeUI-Semilight"/>
          <w:sz w:val="24"/>
          <w:szCs w:val="24"/>
        </w:rPr>
      </w:pPr>
    </w:p>
    <w:p w:rsidR="008025C4" w:rsidRPr="00611542" w:rsidRDefault="008025C4" w:rsidP="00611542">
      <w:pPr>
        <w:rPr>
          <w:rFonts w:cs="SegoeUI-Semibold"/>
          <w:b/>
          <w:bCs/>
          <w:sz w:val="24"/>
          <w:szCs w:val="24"/>
          <w:u w:val="single"/>
        </w:rPr>
      </w:pPr>
      <w:r w:rsidRPr="00A57FCD">
        <w:rPr>
          <w:rFonts w:cs="SegoeUI-Semibold"/>
          <w:b/>
          <w:bCs/>
          <w:sz w:val="28"/>
          <w:szCs w:val="28"/>
          <w:u w:val="single"/>
        </w:rPr>
        <w:t>OBJECTIVES</w:t>
      </w:r>
    </w:p>
    <w:p w:rsidR="00611542" w:rsidRPr="00611542" w:rsidRDefault="00611542" w:rsidP="00611542">
      <w:pPr>
        <w:autoSpaceDE w:val="0"/>
        <w:autoSpaceDN w:val="0"/>
        <w:adjustRightInd w:val="0"/>
        <w:spacing w:after="0" w:line="240" w:lineRule="auto"/>
        <w:rPr>
          <w:rFonts w:cs="SegoeUI-SemilightItalic"/>
          <w:i/>
          <w:iCs/>
          <w:sz w:val="24"/>
          <w:szCs w:val="24"/>
        </w:rPr>
      </w:pPr>
      <w:r w:rsidRPr="00611542">
        <w:rPr>
          <w:rFonts w:cs="SegoeUI-SemilightItalic"/>
          <w:i/>
          <w:iCs/>
          <w:sz w:val="24"/>
          <w:szCs w:val="24"/>
        </w:rPr>
        <w:t>At the end of this 2 days course, participants will be able to:</w:t>
      </w:r>
    </w:p>
    <w:p w:rsidR="00611542" w:rsidRPr="00611542" w:rsidRDefault="00611542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611542">
        <w:rPr>
          <w:rFonts w:cs="SegoeUI-Semilight"/>
          <w:sz w:val="24"/>
          <w:szCs w:val="24"/>
        </w:rPr>
        <w:t>• Distinguish between leadership and management.</w:t>
      </w:r>
    </w:p>
    <w:p w:rsidR="00611542" w:rsidRPr="00611542" w:rsidRDefault="00611542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611542">
        <w:rPr>
          <w:rFonts w:cs="SegoeUI-Semilight"/>
          <w:sz w:val="24"/>
          <w:szCs w:val="24"/>
        </w:rPr>
        <w:t>• Discuss the qualities and behaviors that contribute to be an effective leader.</w:t>
      </w:r>
    </w:p>
    <w:p w:rsidR="00611542" w:rsidRPr="00611542" w:rsidRDefault="00611542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611542">
        <w:rPr>
          <w:rFonts w:cs="SegoeUI-Semilight"/>
          <w:sz w:val="24"/>
          <w:szCs w:val="24"/>
        </w:rPr>
        <w:t>• Guide the individual or small group through the process of problem solving.</w:t>
      </w:r>
    </w:p>
    <w:p w:rsidR="00611542" w:rsidRPr="00611542" w:rsidRDefault="00611542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611542">
        <w:rPr>
          <w:rFonts w:cs="SegoeUI-Semilight"/>
          <w:sz w:val="24"/>
          <w:szCs w:val="24"/>
        </w:rPr>
        <w:t>• Delegate responsibilities safely.</w:t>
      </w:r>
    </w:p>
    <w:p w:rsidR="00611542" w:rsidRPr="00611542" w:rsidRDefault="00611542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611542">
        <w:rPr>
          <w:rFonts w:cs="SegoeUI-Semilight"/>
          <w:sz w:val="24"/>
          <w:szCs w:val="24"/>
        </w:rPr>
        <w:t>• Make appropriate assignments to the team members.</w:t>
      </w:r>
    </w:p>
    <w:p w:rsidR="00611542" w:rsidRPr="00611542" w:rsidRDefault="00611542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611542">
        <w:rPr>
          <w:rFonts w:cs="SegoeUI-Semilight"/>
          <w:sz w:val="24"/>
          <w:szCs w:val="24"/>
        </w:rPr>
        <w:t>• Describe several ways in which employees can be empowered.</w:t>
      </w:r>
    </w:p>
    <w:p w:rsidR="00611542" w:rsidRPr="00611542" w:rsidRDefault="00611542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611542">
        <w:rPr>
          <w:rFonts w:cs="SegoeUI-Semilight"/>
          <w:sz w:val="24"/>
          <w:szCs w:val="24"/>
        </w:rPr>
        <w:t>• Organize work to make more effective use of available time.</w:t>
      </w:r>
    </w:p>
    <w:p w:rsidR="00611542" w:rsidRPr="00611542" w:rsidRDefault="00611542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611542">
        <w:rPr>
          <w:rFonts w:cs="SegoeUI-Semilight"/>
          <w:sz w:val="24"/>
          <w:szCs w:val="24"/>
        </w:rPr>
        <w:t>• Describe several ways in which employees can be motivated.</w:t>
      </w:r>
    </w:p>
    <w:p w:rsidR="00611542" w:rsidRPr="00611542" w:rsidRDefault="00611542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611542">
        <w:rPr>
          <w:rFonts w:cs="SegoeUI-Semilight"/>
          <w:sz w:val="24"/>
          <w:szCs w:val="24"/>
        </w:rPr>
        <w:t>• Give and receive feedback appropriately.</w:t>
      </w:r>
    </w:p>
    <w:p w:rsidR="00611542" w:rsidRPr="00611542" w:rsidRDefault="00611542" w:rsidP="00611542">
      <w:pPr>
        <w:rPr>
          <w:rFonts w:cs="SegoeUI-SemilightItalic"/>
          <w:i/>
          <w:iCs/>
          <w:sz w:val="24"/>
          <w:szCs w:val="24"/>
        </w:rPr>
      </w:pPr>
      <w:r w:rsidRPr="00611542">
        <w:rPr>
          <w:rFonts w:cs="SegoeUI-Semilight"/>
          <w:sz w:val="24"/>
          <w:szCs w:val="24"/>
        </w:rPr>
        <w:t>• Help in staff performance appraisal.</w:t>
      </w:r>
    </w:p>
    <w:p w:rsidR="00611542" w:rsidRDefault="00611542" w:rsidP="00A57FCD">
      <w:pPr>
        <w:rPr>
          <w:rFonts w:cs="SegoeUI-SemilightItalic"/>
          <w:i/>
          <w:iCs/>
          <w:sz w:val="24"/>
          <w:szCs w:val="24"/>
        </w:rPr>
      </w:pPr>
    </w:p>
    <w:p w:rsidR="00611542" w:rsidRDefault="00611542" w:rsidP="00A57FCD">
      <w:pPr>
        <w:rPr>
          <w:rFonts w:cs="SegoeUI-SemilightItalic"/>
          <w:i/>
          <w:iCs/>
          <w:sz w:val="24"/>
          <w:szCs w:val="24"/>
        </w:rPr>
      </w:pPr>
    </w:p>
    <w:p w:rsidR="00611542" w:rsidRPr="00611542" w:rsidRDefault="00611542" w:rsidP="00A57FCD">
      <w:pPr>
        <w:rPr>
          <w:rFonts w:cs="SegoeUI-SemilightItalic"/>
          <w:i/>
          <w:iCs/>
          <w:sz w:val="24"/>
          <w:szCs w:val="24"/>
        </w:rPr>
      </w:pPr>
    </w:p>
    <w:p w:rsidR="00A57FCD" w:rsidRPr="00611542" w:rsidRDefault="008025C4" w:rsidP="00A57FCD">
      <w:pPr>
        <w:rPr>
          <w:rFonts w:cs="SegoeUI-Semibold"/>
          <w:b/>
          <w:bCs/>
          <w:sz w:val="24"/>
          <w:szCs w:val="24"/>
          <w:u w:val="single"/>
        </w:rPr>
      </w:pPr>
      <w:r w:rsidRPr="00CF28AF">
        <w:rPr>
          <w:rFonts w:cs="SegoeUI-Semibold"/>
          <w:b/>
          <w:bCs/>
          <w:sz w:val="28"/>
          <w:szCs w:val="28"/>
          <w:u w:val="single"/>
        </w:rPr>
        <w:t>TEACHING STRATEGIES</w:t>
      </w:r>
    </w:p>
    <w:p w:rsidR="00611542" w:rsidRPr="00611542" w:rsidRDefault="00611542" w:rsidP="00A57FCD">
      <w:pPr>
        <w:rPr>
          <w:rFonts w:cs="SegoeUI-SemilightItalic"/>
          <w:sz w:val="24"/>
          <w:szCs w:val="24"/>
        </w:rPr>
      </w:pPr>
    </w:p>
    <w:p w:rsidR="00611542" w:rsidRPr="00611542" w:rsidRDefault="00611542" w:rsidP="00611542">
      <w:pPr>
        <w:autoSpaceDE w:val="0"/>
        <w:autoSpaceDN w:val="0"/>
        <w:adjustRightInd w:val="0"/>
        <w:spacing w:after="0" w:line="240" w:lineRule="auto"/>
        <w:rPr>
          <w:rFonts w:cs="SegoeUI-SemilightItalic"/>
          <w:sz w:val="24"/>
          <w:szCs w:val="24"/>
        </w:rPr>
      </w:pPr>
      <w:r w:rsidRPr="00611542">
        <w:rPr>
          <w:rFonts w:cs="SegoeUI-SemilightItalic"/>
          <w:sz w:val="24"/>
          <w:szCs w:val="24"/>
        </w:rPr>
        <w:lastRenderedPageBreak/>
        <w:t>Teaching learning methods utilized to assist participants in achieving course objectives include:</w:t>
      </w:r>
    </w:p>
    <w:p w:rsidR="00611542" w:rsidRPr="00611542" w:rsidRDefault="00611542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611542">
        <w:rPr>
          <w:rFonts w:cs="SegoeUI-Semilight"/>
          <w:sz w:val="24"/>
          <w:szCs w:val="24"/>
        </w:rPr>
        <w:t>• Class room presentation.</w:t>
      </w:r>
    </w:p>
    <w:p w:rsidR="00611542" w:rsidRPr="00611542" w:rsidRDefault="00611542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611542">
        <w:rPr>
          <w:rFonts w:cs="SegoeUI-Semilight"/>
          <w:sz w:val="24"/>
          <w:szCs w:val="24"/>
        </w:rPr>
        <w:t>• Independent study (reading, Logical).</w:t>
      </w:r>
    </w:p>
    <w:p w:rsidR="00611542" w:rsidRPr="00611542" w:rsidRDefault="00611542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611542">
        <w:rPr>
          <w:rFonts w:cs="SegoeUI-Semilight"/>
          <w:sz w:val="24"/>
          <w:szCs w:val="24"/>
        </w:rPr>
        <w:t>• Role play.</w:t>
      </w:r>
    </w:p>
    <w:p w:rsidR="00611542" w:rsidRPr="00611542" w:rsidRDefault="00611542" w:rsidP="00611542">
      <w:pPr>
        <w:autoSpaceDE w:val="0"/>
        <w:autoSpaceDN w:val="0"/>
        <w:adjustRightInd w:val="0"/>
        <w:spacing w:after="0" w:line="240" w:lineRule="auto"/>
        <w:rPr>
          <w:rFonts w:cs="SegoeUI-Semilight"/>
          <w:sz w:val="24"/>
          <w:szCs w:val="24"/>
        </w:rPr>
      </w:pPr>
      <w:r w:rsidRPr="00611542">
        <w:rPr>
          <w:rFonts w:cs="SegoeUI-Semilight"/>
          <w:sz w:val="24"/>
          <w:szCs w:val="24"/>
        </w:rPr>
        <w:t>• Discussion (seminar approach).</w:t>
      </w:r>
    </w:p>
    <w:p w:rsidR="008025C4" w:rsidRPr="00611542" w:rsidRDefault="00611542" w:rsidP="00611542">
      <w:pPr>
        <w:rPr>
          <w:sz w:val="24"/>
          <w:szCs w:val="24"/>
        </w:rPr>
      </w:pPr>
      <w:r w:rsidRPr="00611542">
        <w:rPr>
          <w:rFonts w:cs="SegoeUI-Semilight"/>
          <w:sz w:val="24"/>
          <w:szCs w:val="24"/>
        </w:rPr>
        <w:t>• Audiovisuals.</w:t>
      </w:r>
    </w:p>
    <w:sectPr w:rsidR="008025C4" w:rsidRPr="00611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Semi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Semi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C4"/>
    <w:rsid w:val="00012EBB"/>
    <w:rsid w:val="0003166E"/>
    <w:rsid w:val="001C38DB"/>
    <w:rsid w:val="00210F84"/>
    <w:rsid w:val="00436C45"/>
    <w:rsid w:val="00611542"/>
    <w:rsid w:val="0064524F"/>
    <w:rsid w:val="00761639"/>
    <w:rsid w:val="007A1D09"/>
    <w:rsid w:val="008025C4"/>
    <w:rsid w:val="00821D4B"/>
    <w:rsid w:val="00882270"/>
    <w:rsid w:val="0089224E"/>
    <w:rsid w:val="00897D3B"/>
    <w:rsid w:val="008B7E23"/>
    <w:rsid w:val="008D7895"/>
    <w:rsid w:val="009F7A8B"/>
    <w:rsid w:val="00A163E5"/>
    <w:rsid w:val="00A57FCD"/>
    <w:rsid w:val="00B15878"/>
    <w:rsid w:val="00C22D93"/>
    <w:rsid w:val="00CF28AF"/>
    <w:rsid w:val="00F91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D07EB-025C-4D48-BCB3-B93F4390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25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Abdelhamid</dc:creator>
  <cp:keywords/>
  <dc:description/>
  <cp:lastModifiedBy>Omar Abdelhamid</cp:lastModifiedBy>
  <cp:revision>23</cp:revision>
  <dcterms:created xsi:type="dcterms:W3CDTF">2018-12-27T08:01:00Z</dcterms:created>
  <dcterms:modified xsi:type="dcterms:W3CDTF">2018-12-27T10:04:00Z</dcterms:modified>
</cp:coreProperties>
</file>